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FBFB" w14:textId="5D737089" w:rsidR="004F0B20" w:rsidRPr="00CD24A5" w:rsidRDefault="004F0B20" w:rsidP="0069744F">
      <w:pPr>
        <w:spacing w:after="120" w:line="240" w:lineRule="auto"/>
        <w:jc w:val="center"/>
        <w:rPr>
          <w:rFonts w:cstheme="minorHAnsi"/>
          <w:b/>
          <w:bCs/>
          <w:sz w:val="24"/>
          <w:szCs w:val="24"/>
        </w:rPr>
      </w:pPr>
      <w:r w:rsidRPr="00CD24A5">
        <w:rPr>
          <w:rFonts w:cstheme="minorHAnsi"/>
          <w:b/>
          <w:bCs/>
          <w:sz w:val="24"/>
          <w:szCs w:val="24"/>
        </w:rPr>
        <w:t>Blended Intensive Programme 2024/2025</w:t>
      </w:r>
    </w:p>
    <w:p w14:paraId="30B1161B" w14:textId="77777777" w:rsidR="004F0B20" w:rsidRPr="00CD24A5" w:rsidRDefault="004F0B20" w:rsidP="0069744F">
      <w:pPr>
        <w:spacing w:after="120" w:line="240" w:lineRule="auto"/>
        <w:jc w:val="center"/>
        <w:rPr>
          <w:rFonts w:cstheme="minorHAnsi"/>
          <w:b/>
          <w:bCs/>
          <w:sz w:val="24"/>
          <w:szCs w:val="24"/>
        </w:rPr>
      </w:pPr>
    </w:p>
    <w:p w14:paraId="3C2ECC44" w14:textId="77777777" w:rsidR="001141B3" w:rsidRPr="00CD24A5" w:rsidRDefault="001141B3" w:rsidP="0069744F">
      <w:pPr>
        <w:spacing w:after="120" w:line="240" w:lineRule="auto"/>
        <w:jc w:val="center"/>
        <w:rPr>
          <w:rFonts w:cstheme="minorHAnsi"/>
          <w:b/>
          <w:bCs/>
          <w:sz w:val="24"/>
          <w:szCs w:val="24"/>
        </w:rPr>
      </w:pPr>
      <w:r w:rsidRPr="00CD24A5">
        <w:rPr>
          <w:rFonts w:cstheme="minorHAnsi"/>
          <w:b/>
          <w:bCs/>
          <w:sz w:val="24"/>
          <w:szCs w:val="24"/>
        </w:rPr>
        <w:t>Progress in Human Geography</w:t>
      </w:r>
      <w:r w:rsidRPr="00CD24A5">
        <w:rPr>
          <w:rFonts w:cstheme="minorHAnsi"/>
          <w:b/>
          <w:bCs/>
          <w:sz w:val="24"/>
          <w:szCs w:val="24"/>
        </w:rPr>
        <w:t xml:space="preserve"> </w:t>
      </w:r>
    </w:p>
    <w:p w14:paraId="0EB6D3DB" w14:textId="77777777" w:rsidR="00CD24A5" w:rsidRPr="00CD24A5" w:rsidRDefault="00CD24A5" w:rsidP="00CD24A5">
      <w:pPr>
        <w:spacing w:after="120" w:line="240" w:lineRule="auto"/>
        <w:jc w:val="both"/>
        <w:rPr>
          <w:rFonts w:cstheme="minorHAnsi"/>
          <w:sz w:val="24"/>
          <w:szCs w:val="24"/>
        </w:rPr>
      </w:pPr>
      <w:r w:rsidRPr="00CD24A5">
        <w:rPr>
          <w:rFonts w:cstheme="minorHAnsi"/>
          <w:sz w:val="24"/>
          <w:szCs w:val="24"/>
        </w:rPr>
        <w:t>This course provides an excellent opportunity to immerse yourself in a dynamic blend of theoretical knowledge and practical experience. The programme enables students to critically analyse various planning, socio-economic and cultural phenomena in urban and rural areas, applying sound and proven research methods.</w:t>
      </w:r>
    </w:p>
    <w:p w14:paraId="16EA2D63" w14:textId="77777777" w:rsidR="00CD24A5" w:rsidRPr="00CD24A5" w:rsidRDefault="00CD24A5" w:rsidP="00CD24A5">
      <w:pPr>
        <w:spacing w:after="120" w:line="240" w:lineRule="auto"/>
        <w:jc w:val="both"/>
        <w:rPr>
          <w:rFonts w:cstheme="minorHAnsi"/>
          <w:sz w:val="24"/>
          <w:szCs w:val="24"/>
        </w:rPr>
      </w:pPr>
      <w:r w:rsidRPr="00CD24A5">
        <w:rPr>
          <w:rFonts w:cstheme="minorHAnsi"/>
          <w:sz w:val="24"/>
          <w:szCs w:val="24"/>
        </w:rPr>
        <w:t>Key research and workshop topics of the programme include:</w:t>
      </w:r>
    </w:p>
    <w:p w14:paraId="30DBE49D" w14:textId="3E6A1D6A" w:rsidR="00CD24A5" w:rsidRPr="00CD24A5" w:rsidRDefault="00CD24A5" w:rsidP="00CD24A5">
      <w:pPr>
        <w:pStyle w:val="Akapitzlist"/>
        <w:numPr>
          <w:ilvl w:val="0"/>
          <w:numId w:val="3"/>
        </w:numPr>
        <w:spacing w:after="120" w:line="240" w:lineRule="auto"/>
        <w:jc w:val="both"/>
        <w:rPr>
          <w:rFonts w:cstheme="minorHAnsi"/>
          <w:sz w:val="24"/>
          <w:szCs w:val="24"/>
        </w:rPr>
      </w:pPr>
      <w:r w:rsidRPr="00CD24A5">
        <w:rPr>
          <w:rFonts w:cstheme="minorHAnsi"/>
          <w:sz w:val="24"/>
          <w:szCs w:val="24"/>
        </w:rPr>
        <w:t>Communication skills (including the practise of language skills in a multicultural environment)</w:t>
      </w:r>
    </w:p>
    <w:p w14:paraId="7EDE36F8" w14:textId="64105E5E" w:rsidR="00CD24A5" w:rsidRPr="00CD24A5" w:rsidRDefault="00CD24A5" w:rsidP="00CD24A5">
      <w:pPr>
        <w:pStyle w:val="Akapitzlist"/>
        <w:numPr>
          <w:ilvl w:val="0"/>
          <w:numId w:val="3"/>
        </w:numPr>
        <w:spacing w:after="120" w:line="240" w:lineRule="auto"/>
        <w:jc w:val="both"/>
        <w:rPr>
          <w:rFonts w:cstheme="minorHAnsi"/>
          <w:sz w:val="24"/>
          <w:szCs w:val="24"/>
        </w:rPr>
      </w:pPr>
      <w:proofErr w:type="spellStart"/>
      <w:r w:rsidRPr="00CD24A5">
        <w:rPr>
          <w:rFonts w:cstheme="minorHAnsi"/>
          <w:sz w:val="24"/>
          <w:szCs w:val="24"/>
        </w:rPr>
        <w:t>Livability</w:t>
      </w:r>
      <w:proofErr w:type="spellEnd"/>
      <w:r w:rsidRPr="00CD24A5">
        <w:rPr>
          <w:rFonts w:cstheme="minorHAnsi"/>
          <w:sz w:val="24"/>
          <w:szCs w:val="24"/>
        </w:rPr>
        <w:t xml:space="preserve"> assessment in de-industrialised cities and communities (exploring the concept and methods of measurement)</w:t>
      </w:r>
    </w:p>
    <w:p w14:paraId="2DEFC36D" w14:textId="34BED269" w:rsidR="00CD24A5" w:rsidRPr="00CD24A5" w:rsidRDefault="00CD24A5" w:rsidP="00CD24A5">
      <w:pPr>
        <w:pStyle w:val="Akapitzlist"/>
        <w:numPr>
          <w:ilvl w:val="0"/>
          <w:numId w:val="3"/>
        </w:numPr>
        <w:spacing w:after="120" w:line="240" w:lineRule="auto"/>
        <w:jc w:val="both"/>
        <w:rPr>
          <w:rFonts w:cstheme="minorHAnsi"/>
          <w:sz w:val="24"/>
          <w:szCs w:val="24"/>
        </w:rPr>
      </w:pPr>
      <w:r w:rsidRPr="00CD24A5">
        <w:rPr>
          <w:rFonts w:cstheme="minorHAnsi"/>
          <w:sz w:val="24"/>
          <w:szCs w:val="24"/>
        </w:rPr>
        <w:t>Social interactions in urban public spaces (including field trip and fieldwork)</w:t>
      </w:r>
    </w:p>
    <w:p w14:paraId="622905D6" w14:textId="28BE18AE" w:rsidR="00CD24A5" w:rsidRPr="00CD24A5" w:rsidRDefault="00CD24A5" w:rsidP="00CD24A5">
      <w:pPr>
        <w:pStyle w:val="Akapitzlist"/>
        <w:numPr>
          <w:ilvl w:val="0"/>
          <w:numId w:val="3"/>
        </w:numPr>
        <w:spacing w:after="120" w:line="240" w:lineRule="auto"/>
        <w:jc w:val="both"/>
        <w:rPr>
          <w:rFonts w:cstheme="minorHAnsi"/>
          <w:sz w:val="24"/>
          <w:szCs w:val="24"/>
        </w:rPr>
      </w:pPr>
      <w:r w:rsidRPr="00CD24A5">
        <w:rPr>
          <w:rFonts w:cstheme="minorHAnsi"/>
          <w:sz w:val="24"/>
          <w:szCs w:val="24"/>
        </w:rPr>
        <w:t>Spatial segregation in rural areas (including a practical exercise)</w:t>
      </w:r>
    </w:p>
    <w:p w14:paraId="5AD1C965" w14:textId="7C11D8A0" w:rsidR="00CD24A5" w:rsidRPr="00CD24A5" w:rsidRDefault="00CD24A5" w:rsidP="00CD24A5">
      <w:pPr>
        <w:pStyle w:val="Akapitzlist"/>
        <w:numPr>
          <w:ilvl w:val="0"/>
          <w:numId w:val="3"/>
        </w:numPr>
        <w:spacing w:after="120" w:line="240" w:lineRule="auto"/>
        <w:jc w:val="both"/>
        <w:rPr>
          <w:rFonts w:cstheme="minorHAnsi"/>
          <w:sz w:val="24"/>
          <w:szCs w:val="24"/>
        </w:rPr>
      </w:pPr>
      <w:r w:rsidRPr="00CD24A5">
        <w:rPr>
          <w:rFonts w:cstheme="minorHAnsi"/>
          <w:sz w:val="24"/>
          <w:szCs w:val="24"/>
        </w:rPr>
        <w:t>Functional zoning in urban areas – analysing land cover (exploration of functional zoning using the example of Cluj-Napoca, Sofia and Warsaw)</w:t>
      </w:r>
    </w:p>
    <w:p w14:paraId="3D27FBB0" w14:textId="313EC7C9" w:rsidR="00CD24A5" w:rsidRPr="00CD24A5" w:rsidRDefault="00CD24A5" w:rsidP="00CD24A5">
      <w:pPr>
        <w:pStyle w:val="Akapitzlist"/>
        <w:numPr>
          <w:ilvl w:val="0"/>
          <w:numId w:val="3"/>
        </w:numPr>
        <w:spacing w:after="120" w:line="240" w:lineRule="auto"/>
        <w:jc w:val="both"/>
        <w:rPr>
          <w:rFonts w:cstheme="minorHAnsi"/>
          <w:sz w:val="24"/>
          <w:szCs w:val="24"/>
        </w:rPr>
      </w:pPr>
      <w:r w:rsidRPr="00CD24A5">
        <w:rPr>
          <w:rFonts w:cstheme="minorHAnsi"/>
          <w:sz w:val="24"/>
          <w:szCs w:val="24"/>
        </w:rPr>
        <w:t>Exploring destinations and experiencing cultural monuments through virtual tourism (with the actual experience of virtual tourism)</w:t>
      </w:r>
    </w:p>
    <w:p w14:paraId="18F6C5D8" w14:textId="7807426F" w:rsidR="001141B3" w:rsidRPr="00CD24A5" w:rsidRDefault="00CD24A5" w:rsidP="00CD24A5">
      <w:pPr>
        <w:spacing w:after="120" w:line="240" w:lineRule="auto"/>
        <w:jc w:val="both"/>
        <w:rPr>
          <w:rFonts w:cstheme="minorHAnsi"/>
          <w:sz w:val="24"/>
          <w:szCs w:val="24"/>
        </w:rPr>
      </w:pPr>
      <w:r w:rsidRPr="00CD24A5">
        <w:rPr>
          <w:rFonts w:cstheme="minorHAnsi"/>
          <w:sz w:val="24"/>
          <w:szCs w:val="24"/>
        </w:rPr>
        <w:t>The programme combines indoor and outdoor activities, with fieldwork being the fundamental part of the course. In addition, the interactive group activities are designed to promote the development of communication skills, especially the use of English for specific academic and professional purposes. You will be encouraged to work in international teams to provide you with an exceptional experience. Above all, we aim to work and learn in a good and friendly atmosphere, benefiting from an international gathering.</w:t>
      </w:r>
      <w:r w:rsidR="008F6B18">
        <w:rPr>
          <w:rFonts w:cstheme="minorHAnsi"/>
          <w:sz w:val="24"/>
          <w:szCs w:val="24"/>
        </w:rPr>
        <w:t xml:space="preserve"> </w:t>
      </w:r>
      <w:r w:rsidR="001141B3" w:rsidRPr="00CD24A5">
        <w:rPr>
          <w:rFonts w:cstheme="minorHAnsi"/>
          <w:sz w:val="24"/>
          <w:szCs w:val="24"/>
        </w:rPr>
        <w:t xml:space="preserve">Academics from </w:t>
      </w:r>
      <w:r w:rsidR="00874E43" w:rsidRPr="00CD24A5">
        <w:rPr>
          <w:rFonts w:cstheme="minorHAnsi"/>
          <w:sz w:val="24"/>
          <w:szCs w:val="24"/>
        </w:rPr>
        <w:t xml:space="preserve">3 countries and </w:t>
      </w:r>
      <w:r w:rsidR="001141B3" w:rsidRPr="00CD24A5">
        <w:rPr>
          <w:rFonts w:cstheme="minorHAnsi"/>
          <w:sz w:val="24"/>
          <w:szCs w:val="24"/>
        </w:rPr>
        <w:t>4 universities meet to offer</w:t>
      </w:r>
      <w:r w:rsidR="0029063E" w:rsidRPr="00CD24A5">
        <w:rPr>
          <w:rFonts w:cstheme="minorHAnsi"/>
          <w:sz w:val="24"/>
          <w:szCs w:val="24"/>
        </w:rPr>
        <w:t xml:space="preserve"> this summer school:</w:t>
      </w:r>
    </w:p>
    <w:p w14:paraId="5B4FF880" w14:textId="2704B9A8" w:rsidR="0029063E" w:rsidRPr="00CD24A5" w:rsidRDefault="0029063E" w:rsidP="0069744F">
      <w:pPr>
        <w:spacing w:line="240" w:lineRule="auto"/>
        <w:rPr>
          <w:rFonts w:cstheme="minorHAnsi"/>
          <w:sz w:val="24"/>
          <w:szCs w:val="24"/>
        </w:rPr>
      </w:pPr>
      <w:r w:rsidRPr="00CD24A5">
        <w:rPr>
          <w:rFonts w:cstheme="minorHAnsi"/>
          <w:b/>
          <w:bCs/>
          <w:sz w:val="24"/>
          <w:szCs w:val="24"/>
        </w:rPr>
        <w:t xml:space="preserve">Vasile ZOTIC </w:t>
      </w:r>
      <w:proofErr w:type="spellStart"/>
      <w:r w:rsidR="00874E43" w:rsidRPr="00CD24A5">
        <w:rPr>
          <w:rFonts w:cstheme="minorHAnsi"/>
          <w:bCs/>
          <w:sz w:val="24"/>
          <w:szCs w:val="24"/>
        </w:rPr>
        <w:t>PdD</w:t>
      </w:r>
      <w:proofErr w:type="spellEnd"/>
      <w:r w:rsidR="00874E43" w:rsidRPr="00CD24A5">
        <w:rPr>
          <w:rFonts w:cstheme="minorHAnsi"/>
          <w:bCs/>
          <w:sz w:val="24"/>
          <w:szCs w:val="24"/>
        </w:rPr>
        <w:t xml:space="preserve">, </w:t>
      </w:r>
      <w:r w:rsidRPr="00CD24A5">
        <w:rPr>
          <w:rFonts w:cstheme="minorHAnsi"/>
          <w:bCs/>
          <w:sz w:val="24"/>
          <w:szCs w:val="24"/>
        </w:rPr>
        <w:t xml:space="preserve">Assoc. Prof., </w:t>
      </w:r>
      <w:r w:rsidRPr="00CD24A5">
        <w:rPr>
          <w:rFonts w:cstheme="minorHAnsi"/>
          <w:sz w:val="24"/>
          <w:szCs w:val="24"/>
        </w:rPr>
        <w:t xml:space="preserve">Babeș-Bolyai University, Cluj-Napoca, ROMANIA </w:t>
      </w:r>
    </w:p>
    <w:p w14:paraId="25FD1DF1" w14:textId="7B53264A" w:rsidR="0029063E" w:rsidRPr="00CD24A5" w:rsidRDefault="0029063E" w:rsidP="0069744F">
      <w:pPr>
        <w:spacing w:line="240" w:lineRule="auto"/>
        <w:rPr>
          <w:rFonts w:cstheme="minorHAnsi"/>
          <w:b/>
          <w:bCs/>
          <w:sz w:val="24"/>
          <w:szCs w:val="24"/>
        </w:rPr>
      </w:pPr>
      <w:r w:rsidRPr="00CD24A5">
        <w:rPr>
          <w:rFonts w:cstheme="minorHAnsi"/>
          <w:b/>
          <w:bCs/>
          <w:sz w:val="24"/>
          <w:szCs w:val="24"/>
        </w:rPr>
        <w:t>Diana-Elena ALEXANDRU</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Pr="00CD24A5">
        <w:rPr>
          <w:rFonts w:cstheme="minorHAnsi"/>
          <w:b/>
          <w:bCs/>
          <w:sz w:val="24"/>
          <w:szCs w:val="24"/>
        </w:rPr>
        <w:t xml:space="preserve">, </w:t>
      </w:r>
      <w:r w:rsidRPr="00CD24A5">
        <w:rPr>
          <w:rFonts w:cstheme="minorHAnsi"/>
          <w:bCs/>
          <w:sz w:val="24"/>
          <w:szCs w:val="24"/>
        </w:rPr>
        <w:t xml:space="preserve">Lecturer, </w:t>
      </w:r>
      <w:r w:rsidRPr="00CD24A5">
        <w:rPr>
          <w:rFonts w:cstheme="minorHAnsi"/>
          <w:sz w:val="24"/>
          <w:szCs w:val="24"/>
        </w:rPr>
        <w:t xml:space="preserve">Babeș-Bolyai University, Cluj-Napoca, ROMANIA </w:t>
      </w:r>
    </w:p>
    <w:p w14:paraId="7A727F6A" w14:textId="5C8C244C" w:rsidR="0029063E" w:rsidRPr="00CD24A5" w:rsidRDefault="0029063E" w:rsidP="0069744F">
      <w:pPr>
        <w:spacing w:line="240" w:lineRule="auto"/>
        <w:rPr>
          <w:rFonts w:cstheme="minorHAnsi"/>
          <w:sz w:val="24"/>
          <w:szCs w:val="24"/>
        </w:rPr>
      </w:pPr>
      <w:r w:rsidRPr="00CD24A5">
        <w:rPr>
          <w:rFonts w:cstheme="minorHAnsi"/>
          <w:b/>
          <w:bCs/>
          <w:sz w:val="24"/>
          <w:szCs w:val="24"/>
        </w:rPr>
        <w:t>István-Oliver EGRESI</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00874E43" w:rsidRPr="00CD24A5">
        <w:rPr>
          <w:rFonts w:cstheme="minorHAnsi"/>
          <w:bCs/>
          <w:sz w:val="24"/>
          <w:szCs w:val="24"/>
        </w:rPr>
        <w:t>,</w:t>
      </w:r>
      <w:r w:rsidRPr="00CD24A5">
        <w:rPr>
          <w:rFonts w:cstheme="minorHAnsi"/>
          <w:sz w:val="24"/>
          <w:szCs w:val="24"/>
        </w:rPr>
        <w:t xml:space="preserve"> Assistant Professor</w:t>
      </w:r>
      <w:r w:rsidRPr="00CD24A5">
        <w:rPr>
          <w:rFonts w:cstheme="minorHAnsi"/>
          <w:bCs/>
          <w:sz w:val="24"/>
          <w:szCs w:val="24"/>
        </w:rPr>
        <w:t>,</w:t>
      </w:r>
      <w:r w:rsidRPr="00CD24A5">
        <w:rPr>
          <w:rFonts w:cstheme="minorHAnsi"/>
          <w:b/>
          <w:bCs/>
          <w:sz w:val="24"/>
          <w:szCs w:val="24"/>
        </w:rPr>
        <w:t xml:space="preserve"> </w:t>
      </w:r>
      <w:r w:rsidRPr="00CD24A5">
        <w:rPr>
          <w:rFonts w:cstheme="minorHAnsi"/>
          <w:sz w:val="24"/>
          <w:szCs w:val="24"/>
        </w:rPr>
        <w:t>Babeș-Bolyai University, Cluj-Napoca, ROMANIA</w:t>
      </w:r>
    </w:p>
    <w:p w14:paraId="158EEFAF" w14:textId="3C5D9347" w:rsidR="0029063E" w:rsidRPr="00CD24A5" w:rsidRDefault="0029063E" w:rsidP="0069744F">
      <w:pPr>
        <w:spacing w:line="240" w:lineRule="auto"/>
        <w:rPr>
          <w:rFonts w:cstheme="minorHAnsi"/>
          <w:sz w:val="24"/>
          <w:szCs w:val="24"/>
        </w:rPr>
      </w:pPr>
      <w:r w:rsidRPr="00CD24A5">
        <w:rPr>
          <w:rFonts w:cstheme="minorHAnsi"/>
          <w:b/>
          <w:sz w:val="24"/>
          <w:szCs w:val="24"/>
        </w:rPr>
        <w:t>Ewelina BICZYŃSKA</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Pr="00CD24A5">
        <w:rPr>
          <w:rFonts w:cstheme="minorHAnsi"/>
          <w:sz w:val="24"/>
          <w:szCs w:val="24"/>
        </w:rPr>
        <w:t xml:space="preserve">, </w:t>
      </w:r>
      <w:r w:rsidRPr="00CD24A5">
        <w:rPr>
          <w:rFonts w:eastAsia="Times New Roman" w:cstheme="minorHAnsi"/>
          <w:sz w:val="24"/>
          <w:szCs w:val="24"/>
          <w:lang w:eastAsia="bg-BG"/>
        </w:rPr>
        <w:t>Senior Assistant</w:t>
      </w:r>
      <w:r w:rsidRPr="00CD24A5">
        <w:rPr>
          <w:rFonts w:cstheme="minorHAnsi"/>
          <w:sz w:val="24"/>
          <w:szCs w:val="24"/>
        </w:rPr>
        <w:t>, University of Warsaw, POLAND</w:t>
      </w:r>
    </w:p>
    <w:p w14:paraId="278DCEE3" w14:textId="6CE7E3A8" w:rsidR="0029063E" w:rsidRPr="00CD24A5" w:rsidRDefault="0029063E" w:rsidP="0069744F">
      <w:pPr>
        <w:spacing w:line="240" w:lineRule="auto"/>
        <w:rPr>
          <w:rFonts w:cstheme="minorHAnsi"/>
          <w:b/>
          <w:sz w:val="24"/>
          <w:szCs w:val="24"/>
        </w:rPr>
      </w:pPr>
      <w:r w:rsidRPr="00CD24A5">
        <w:rPr>
          <w:rFonts w:cstheme="minorHAnsi"/>
          <w:b/>
          <w:sz w:val="24"/>
          <w:szCs w:val="24"/>
        </w:rPr>
        <w:t>Magdalena MOSTOWSKA</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00874E43" w:rsidRPr="00CD24A5">
        <w:rPr>
          <w:rFonts w:cstheme="minorHAnsi"/>
          <w:bCs/>
          <w:sz w:val="24"/>
          <w:szCs w:val="24"/>
        </w:rPr>
        <w:t>,</w:t>
      </w:r>
      <w:r w:rsidRPr="00CD24A5">
        <w:rPr>
          <w:rFonts w:cstheme="minorHAnsi"/>
          <w:sz w:val="24"/>
          <w:szCs w:val="24"/>
        </w:rPr>
        <w:t xml:space="preserve"> </w:t>
      </w:r>
      <w:r w:rsidRPr="00CD24A5">
        <w:rPr>
          <w:rFonts w:eastAsia="Times New Roman" w:cstheme="minorHAnsi"/>
          <w:sz w:val="24"/>
          <w:szCs w:val="24"/>
          <w:lang w:eastAsia="bg-BG"/>
        </w:rPr>
        <w:t xml:space="preserve">Assistant Professor, </w:t>
      </w:r>
      <w:r w:rsidRPr="00CD24A5">
        <w:rPr>
          <w:rFonts w:cstheme="minorHAnsi"/>
          <w:sz w:val="24"/>
          <w:szCs w:val="24"/>
        </w:rPr>
        <w:t>University of Warsaw, POLAND</w:t>
      </w:r>
    </w:p>
    <w:p w14:paraId="0646AACB" w14:textId="7AAB17F6" w:rsidR="0029063E" w:rsidRPr="00CD24A5" w:rsidRDefault="0029063E" w:rsidP="0069744F">
      <w:pPr>
        <w:spacing w:line="240" w:lineRule="auto"/>
        <w:rPr>
          <w:rFonts w:cstheme="minorHAnsi"/>
          <w:sz w:val="24"/>
          <w:szCs w:val="24"/>
        </w:rPr>
      </w:pPr>
      <w:r w:rsidRPr="00CD24A5">
        <w:rPr>
          <w:rFonts w:cstheme="minorHAnsi"/>
          <w:b/>
          <w:bCs/>
          <w:sz w:val="24"/>
          <w:szCs w:val="24"/>
        </w:rPr>
        <w:t>Kaloyan TSVETKOV</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Pr="00CD24A5">
        <w:rPr>
          <w:rFonts w:cstheme="minorHAnsi"/>
          <w:sz w:val="24"/>
          <w:szCs w:val="24"/>
        </w:rPr>
        <w:t xml:space="preserve">, Assistant Professor, </w:t>
      </w:r>
      <w:r w:rsidRPr="00CD24A5">
        <w:rPr>
          <w:rFonts w:eastAsia="Times New Roman" w:cstheme="minorHAnsi"/>
          <w:color w:val="242424"/>
          <w:sz w:val="24"/>
          <w:szCs w:val="24"/>
          <w:lang w:eastAsia="en-GB"/>
        </w:rPr>
        <w:t xml:space="preserve">Sofia University St. Kliment </w:t>
      </w:r>
      <w:proofErr w:type="spellStart"/>
      <w:r w:rsidRPr="00CD24A5">
        <w:rPr>
          <w:rFonts w:eastAsia="Times New Roman" w:cstheme="minorHAnsi"/>
          <w:color w:val="242424"/>
          <w:sz w:val="24"/>
          <w:szCs w:val="24"/>
          <w:lang w:eastAsia="en-GB"/>
        </w:rPr>
        <w:t>Ohridski</w:t>
      </w:r>
      <w:proofErr w:type="spellEnd"/>
      <w:r w:rsidRPr="00CD24A5">
        <w:rPr>
          <w:rFonts w:eastAsia="Times New Roman" w:cstheme="minorHAnsi"/>
          <w:color w:val="242424"/>
          <w:sz w:val="24"/>
          <w:szCs w:val="24"/>
          <w:lang w:eastAsia="en-GB"/>
        </w:rPr>
        <w:t>, Sofia, BULGARIA</w:t>
      </w:r>
    </w:p>
    <w:p w14:paraId="6012D66E" w14:textId="2EB2F679" w:rsidR="0029063E" w:rsidRPr="00CD24A5" w:rsidRDefault="0029063E" w:rsidP="0069744F">
      <w:pPr>
        <w:spacing w:line="240" w:lineRule="auto"/>
        <w:rPr>
          <w:rFonts w:cstheme="minorHAnsi"/>
          <w:sz w:val="24"/>
          <w:szCs w:val="24"/>
        </w:rPr>
      </w:pPr>
      <w:r w:rsidRPr="00CD24A5">
        <w:rPr>
          <w:rFonts w:cstheme="minorHAnsi"/>
          <w:b/>
          <w:bCs/>
          <w:sz w:val="24"/>
          <w:szCs w:val="24"/>
        </w:rPr>
        <w:t>Plamen PATARCHANOV</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00874E43" w:rsidRPr="00CD24A5">
        <w:rPr>
          <w:rFonts w:cstheme="minorHAnsi"/>
          <w:bCs/>
          <w:sz w:val="24"/>
          <w:szCs w:val="24"/>
        </w:rPr>
        <w:t>,</w:t>
      </w:r>
      <w:r w:rsidRPr="00CD24A5">
        <w:rPr>
          <w:rFonts w:cstheme="minorHAnsi"/>
          <w:sz w:val="24"/>
          <w:szCs w:val="24"/>
        </w:rPr>
        <w:t xml:space="preserve">, </w:t>
      </w:r>
      <w:r w:rsidRPr="00CD24A5">
        <w:rPr>
          <w:rFonts w:cstheme="minorHAnsi"/>
          <w:bCs/>
          <w:sz w:val="24"/>
          <w:szCs w:val="24"/>
        </w:rPr>
        <w:t>Assoc. Prof.,</w:t>
      </w:r>
      <w:r w:rsidRPr="00CD24A5">
        <w:rPr>
          <w:rFonts w:cstheme="minorHAnsi"/>
          <w:b/>
          <w:bCs/>
          <w:sz w:val="24"/>
          <w:szCs w:val="24"/>
        </w:rPr>
        <w:t xml:space="preserve"> </w:t>
      </w:r>
      <w:r w:rsidRPr="00CD24A5">
        <w:rPr>
          <w:rFonts w:eastAsia="Times New Roman" w:cstheme="minorHAnsi"/>
          <w:color w:val="242424"/>
          <w:sz w:val="24"/>
          <w:szCs w:val="24"/>
          <w:lang w:eastAsia="en-GB"/>
        </w:rPr>
        <w:t xml:space="preserve">Sofia University St. Kliment </w:t>
      </w:r>
      <w:proofErr w:type="spellStart"/>
      <w:r w:rsidRPr="00CD24A5">
        <w:rPr>
          <w:rFonts w:eastAsia="Times New Roman" w:cstheme="minorHAnsi"/>
          <w:color w:val="242424"/>
          <w:sz w:val="24"/>
          <w:szCs w:val="24"/>
          <w:lang w:eastAsia="en-GB"/>
        </w:rPr>
        <w:t>Ohridski</w:t>
      </w:r>
      <w:proofErr w:type="spellEnd"/>
      <w:r w:rsidRPr="00CD24A5">
        <w:rPr>
          <w:rFonts w:eastAsia="Times New Roman" w:cstheme="minorHAnsi"/>
          <w:color w:val="242424"/>
          <w:sz w:val="24"/>
          <w:szCs w:val="24"/>
          <w:lang w:eastAsia="en-GB"/>
        </w:rPr>
        <w:t>, Sofia, BULGARIA</w:t>
      </w:r>
    </w:p>
    <w:p w14:paraId="4DB92C00" w14:textId="7FFC0FFF" w:rsidR="0029063E" w:rsidRPr="00CD24A5" w:rsidRDefault="0029063E" w:rsidP="0069744F">
      <w:pPr>
        <w:spacing w:line="240" w:lineRule="auto"/>
        <w:rPr>
          <w:rFonts w:cstheme="minorHAnsi"/>
          <w:sz w:val="24"/>
          <w:szCs w:val="24"/>
        </w:rPr>
      </w:pPr>
      <w:r w:rsidRPr="00CD24A5">
        <w:rPr>
          <w:rFonts w:cstheme="minorHAnsi"/>
          <w:b/>
          <w:bCs/>
          <w:sz w:val="24"/>
          <w:szCs w:val="24"/>
        </w:rPr>
        <w:t>Emiliya PATARCHANOVA</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00874E43" w:rsidRPr="00CD24A5">
        <w:rPr>
          <w:rFonts w:cstheme="minorHAnsi"/>
          <w:bCs/>
          <w:sz w:val="24"/>
          <w:szCs w:val="24"/>
        </w:rPr>
        <w:t>,</w:t>
      </w:r>
      <w:r w:rsidRPr="00CD24A5">
        <w:rPr>
          <w:rFonts w:cstheme="minorHAnsi"/>
          <w:sz w:val="24"/>
          <w:szCs w:val="24"/>
        </w:rPr>
        <w:t xml:space="preserve">, </w:t>
      </w:r>
      <w:r w:rsidRPr="00CD24A5">
        <w:rPr>
          <w:rFonts w:cstheme="minorHAnsi"/>
          <w:bCs/>
          <w:sz w:val="24"/>
          <w:szCs w:val="24"/>
        </w:rPr>
        <w:t>Assoc. Prof.</w:t>
      </w:r>
      <w:r w:rsidRPr="00CD24A5">
        <w:rPr>
          <w:rFonts w:eastAsia="Times New Roman" w:cstheme="minorHAnsi"/>
          <w:sz w:val="24"/>
          <w:szCs w:val="24"/>
          <w:lang w:eastAsia="bg-BG"/>
        </w:rPr>
        <w:t>, South-West University “Neofit Rilski”, Blagoevgrad, BULGARIA</w:t>
      </w:r>
    </w:p>
    <w:p w14:paraId="6D5125E4" w14:textId="5A288179" w:rsidR="0029063E" w:rsidRPr="00CD24A5" w:rsidRDefault="0029063E" w:rsidP="0069744F">
      <w:pPr>
        <w:spacing w:after="120" w:line="240" w:lineRule="auto"/>
        <w:jc w:val="both"/>
        <w:rPr>
          <w:rFonts w:cstheme="minorHAnsi"/>
          <w:sz w:val="24"/>
          <w:szCs w:val="24"/>
        </w:rPr>
      </w:pPr>
      <w:r w:rsidRPr="00CD24A5">
        <w:rPr>
          <w:rFonts w:eastAsia="Times New Roman" w:cstheme="minorHAnsi"/>
          <w:b/>
          <w:sz w:val="24"/>
          <w:szCs w:val="24"/>
          <w:lang w:eastAsia="bg-BG"/>
        </w:rPr>
        <w:t>Vladimir KARADZHOV</w:t>
      </w:r>
      <w:r w:rsidR="00874E43" w:rsidRPr="00CD24A5">
        <w:rPr>
          <w:rFonts w:cstheme="minorHAnsi"/>
          <w:bCs/>
          <w:sz w:val="24"/>
          <w:szCs w:val="24"/>
        </w:rPr>
        <w:t xml:space="preserve"> </w:t>
      </w:r>
      <w:proofErr w:type="spellStart"/>
      <w:r w:rsidR="00874E43" w:rsidRPr="00CD24A5">
        <w:rPr>
          <w:rFonts w:cstheme="minorHAnsi"/>
          <w:bCs/>
          <w:sz w:val="24"/>
          <w:szCs w:val="24"/>
        </w:rPr>
        <w:t>PdD</w:t>
      </w:r>
      <w:proofErr w:type="spellEnd"/>
      <w:r w:rsidR="00874E43" w:rsidRPr="00CD24A5">
        <w:rPr>
          <w:rFonts w:cstheme="minorHAnsi"/>
          <w:bCs/>
          <w:sz w:val="24"/>
          <w:szCs w:val="24"/>
        </w:rPr>
        <w:t>,</w:t>
      </w:r>
      <w:r w:rsidRPr="00CD24A5">
        <w:rPr>
          <w:rFonts w:eastAsia="Times New Roman" w:cstheme="minorHAnsi"/>
          <w:sz w:val="24"/>
          <w:szCs w:val="24"/>
          <w:lang w:eastAsia="bg-BG"/>
        </w:rPr>
        <w:t xml:space="preserve"> Senior Assistant Professor, South-West University “Neofit Rilski”, Blagoevgrad, BULGARIA</w:t>
      </w:r>
    </w:p>
    <w:sectPr w:rsidR="0029063E" w:rsidRPr="00CD24A5" w:rsidSect="004F0B2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D7936"/>
    <w:multiLevelType w:val="hybridMultilevel"/>
    <w:tmpl w:val="C6B81A32"/>
    <w:lvl w:ilvl="0" w:tplc="77AC94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4E089F"/>
    <w:multiLevelType w:val="hybridMultilevel"/>
    <w:tmpl w:val="D1986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5594AAD"/>
    <w:multiLevelType w:val="hybridMultilevel"/>
    <w:tmpl w:val="1D12A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968903">
    <w:abstractNumId w:val="0"/>
  </w:num>
  <w:num w:numId="2" w16cid:durableId="84159686">
    <w:abstractNumId w:val="1"/>
  </w:num>
  <w:num w:numId="3" w16cid:durableId="107454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20"/>
    <w:rsid w:val="0002790A"/>
    <w:rsid w:val="000F63C8"/>
    <w:rsid w:val="001141B3"/>
    <w:rsid w:val="0029063E"/>
    <w:rsid w:val="004F0B20"/>
    <w:rsid w:val="0069744F"/>
    <w:rsid w:val="006D3821"/>
    <w:rsid w:val="007B4FA1"/>
    <w:rsid w:val="00874E43"/>
    <w:rsid w:val="008F6B18"/>
    <w:rsid w:val="00AA18BF"/>
    <w:rsid w:val="00B902B1"/>
    <w:rsid w:val="00CD24A5"/>
    <w:rsid w:val="00D565C0"/>
    <w:rsid w:val="00E759A9"/>
    <w:rsid w:val="00FF6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0307"/>
  <w15:chartTrackingRefBased/>
  <w15:docId w15:val="{1B8E05EA-E220-4104-BEDF-9668A006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B20"/>
    <w:rPr>
      <w:kern w:val="2"/>
      <w:lang w:val="en-GB"/>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3430">
      <w:bodyDiv w:val="1"/>
      <w:marLeft w:val="0"/>
      <w:marRight w:val="0"/>
      <w:marTop w:val="0"/>
      <w:marBottom w:val="0"/>
      <w:divBdr>
        <w:top w:val="none" w:sz="0" w:space="0" w:color="auto"/>
        <w:left w:val="none" w:sz="0" w:space="0" w:color="auto"/>
        <w:bottom w:val="none" w:sz="0" w:space="0" w:color="auto"/>
        <w:right w:val="none" w:sz="0" w:space="0" w:color="auto"/>
      </w:divBdr>
    </w:div>
    <w:div w:id="1290671058">
      <w:bodyDiv w:val="1"/>
      <w:marLeft w:val="0"/>
      <w:marRight w:val="0"/>
      <w:marTop w:val="0"/>
      <w:marBottom w:val="0"/>
      <w:divBdr>
        <w:top w:val="none" w:sz="0" w:space="0" w:color="auto"/>
        <w:left w:val="none" w:sz="0" w:space="0" w:color="auto"/>
        <w:bottom w:val="none" w:sz="0" w:space="0" w:color="auto"/>
        <w:right w:val="none" w:sz="0" w:space="0" w:color="auto"/>
      </w:divBdr>
    </w:div>
    <w:div w:id="1406760236">
      <w:bodyDiv w:val="1"/>
      <w:marLeft w:val="0"/>
      <w:marRight w:val="0"/>
      <w:marTop w:val="0"/>
      <w:marBottom w:val="0"/>
      <w:divBdr>
        <w:top w:val="none" w:sz="0" w:space="0" w:color="auto"/>
        <w:left w:val="none" w:sz="0" w:space="0" w:color="auto"/>
        <w:bottom w:val="none" w:sz="0" w:space="0" w:color="auto"/>
        <w:right w:val="none" w:sz="0" w:space="0" w:color="auto"/>
      </w:divBdr>
    </w:div>
    <w:div w:id="18519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354</Words>
  <Characters>2127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Ewelina Biczyńska</cp:lastModifiedBy>
  <cp:revision>6</cp:revision>
  <dcterms:created xsi:type="dcterms:W3CDTF">2025-01-30T22:29:00Z</dcterms:created>
  <dcterms:modified xsi:type="dcterms:W3CDTF">2025-01-30T23:44:00Z</dcterms:modified>
</cp:coreProperties>
</file>